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21FF6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560" w:lineRule="exact"/>
        <w:jc w:val="left"/>
        <w:textAlignment w:val="baseline"/>
        <w:outlineLvl w:val="0"/>
        <w:rPr>
          <w:rFonts w:hint="eastAsia" w:ascii="仿宋_GB2312" w:hAnsi="仿宋_GB2312" w:eastAsia="仿宋_GB2312" w:cs="仿宋_GB2312"/>
          <w:spacing w:val="10"/>
          <w:sz w:val="32"/>
          <w:szCs w:val="32"/>
          <w:highlight w:val="whit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0"/>
          <w:sz w:val="32"/>
          <w:szCs w:val="32"/>
          <w:highlight w:val="white"/>
          <w:lang w:val="en-US" w:eastAsia="zh-CN"/>
        </w:rPr>
        <w:t>附件1：</w:t>
      </w:r>
    </w:p>
    <w:p w14:paraId="5940B1A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560" w:lineRule="exact"/>
        <w:jc w:val="center"/>
        <w:textAlignment w:val="baseline"/>
        <w:outlineLvl w:val="0"/>
        <w:rPr>
          <w:rFonts w:hint="eastAsia" w:ascii="方正小标宋简体" w:hAnsi="方正小标宋简体" w:eastAsia="方正小标宋简体" w:cs="方正小标宋简体"/>
          <w:spacing w:val="1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10"/>
          <w:sz w:val="44"/>
          <w:szCs w:val="44"/>
          <w:highlight w:val="white"/>
          <w:lang w:val="en-US" w:eastAsia="zh-CN"/>
        </w:rPr>
        <w:t>病媒生物防制技术参数</w:t>
      </w:r>
      <w:r>
        <w:rPr>
          <w:rFonts w:hint="eastAsia" w:ascii="方正小标宋简体" w:hAnsi="方正小标宋简体" w:eastAsia="方正小标宋简体" w:cs="方正小标宋简体"/>
          <w:spacing w:val="10"/>
          <w:sz w:val="44"/>
          <w:szCs w:val="44"/>
          <w:highlight w:val="white"/>
          <w:lang w:eastAsia="zh-CN"/>
        </w:rPr>
        <w:t>需求</w:t>
      </w:r>
    </w:p>
    <w:p w14:paraId="2F1D99A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0" w:firstLine="672" w:firstLineChars="200"/>
        <w:textAlignment w:val="baseline"/>
        <w:outlineLvl w:val="1"/>
        <w:rPr>
          <w:rFonts w:hint="eastAsia" w:ascii="仿宋_GB2312" w:hAnsi="仿宋_GB2312" w:eastAsia="仿宋_GB2312" w:cs="仿宋_GB2312"/>
          <w:spacing w:val="8"/>
          <w:sz w:val="32"/>
          <w:szCs w:val="32"/>
          <w:highlight w:val="white"/>
          <w:lang w:eastAsia="zh-CN"/>
        </w:rPr>
      </w:pPr>
    </w:p>
    <w:p w14:paraId="06FAB81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0" w:firstLine="672" w:firstLineChars="200"/>
        <w:textAlignment w:val="baseline"/>
        <w:outlineLvl w:val="1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8"/>
          <w:sz w:val="32"/>
          <w:szCs w:val="32"/>
          <w:highlight w:val="white"/>
          <w:lang w:eastAsia="zh-CN"/>
        </w:rPr>
        <w:t>一、防制服务区域</w:t>
      </w:r>
      <w:r>
        <w:rPr>
          <w:rFonts w:hint="eastAsia" w:ascii="黑体" w:hAnsi="黑体" w:eastAsia="黑体" w:cs="黑体"/>
          <w:spacing w:val="8"/>
          <w:sz w:val="32"/>
          <w:szCs w:val="32"/>
          <w:highlight w:val="white"/>
          <w:lang w:val="en-US" w:eastAsia="zh-CN"/>
        </w:rPr>
        <w:t>简介</w:t>
      </w:r>
    </w:p>
    <w:p w14:paraId="5FD3B69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104" w:firstLine="636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val="en-US" w:eastAsia="zh-CN"/>
        </w:rPr>
        <w:t>上饶市人民医院分为两个院区，城北院区位于上饶市庆丰北路169号，占地75955.5平米，一期建筑面积157911平米，二期地下单建人防车库20180平米，三期地下车库14300平米，绿地面积26585平米，共有病区39个，设置床位1490张。水南院区位于上饶市信州区水南街道书院路86号，占地76.6亩，建筑面积96732.9平米，地下人防车库20180平米，绿地面积26585平米，共有病区39个，设置床位1400张（因水南院区改造工作正在进行，6号楼暂时停用）。</w:t>
      </w:r>
    </w:p>
    <w:p w14:paraId="14DCC9E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0" w:firstLine="672" w:firstLineChars="200"/>
        <w:textAlignment w:val="baseline"/>
        <w:outlineLvl w:val="1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8"/>
          <w:sz w:val="32"/>
          <w:szCs w:val="32"/>
          <w:highlight w:val="white"/>
          <w:lang w:eastAsia="zh-CN"/>
        </w:rPr>
        <w:t>二、防制服务内容</w:t>
      </w:r>
    </w:p>
    <w:p w14:paraId="6BD0370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34" w:firstLine="616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-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highlight w:val="white"/>
          <w:lang w:eastAsia="zh-CN"/>
        </w:rPr>
        <w:t>对防制范围内的所有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highlight w:val="white"/>
          <w:lang w:val="en-US" w:eastAsia="zh-CN"/>
        </w:rPr>
        <w:t>室内、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highlight w:val="white"/>
          <w:lang w:eastAsia="zh-CN"/>
        </w:rPr>
        <w:t>主次干道及其绿化带</w:t>
      </w:r>
      <w:r>
        <w:rPr>
          <w:rFonts w:hint="eastAsia" w:ascii="仿宋_GB2312" w:hAnsi="仿宋_GB2312" w:eastAsia="仿宋_GB2312" w:cs="仿宋_GB2312"/>
          <w:sz w:val="32"/>
          <w:szCs w:val="32"/>
          <w:highlight w:val="white"/>
          <w:lang w:eastAsia="zh-CN"/>
        </w:rPr>
        <w:t>等区域开展消杀（灭鼠、蚊、蝇、蟑螂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  <w:highlight w:val="white"/>
          <w:lang w:eastAsia="zh-CN"/>
        </w:rPr>
        <w:t>）、投放毒饵盒、鼠药和堵塞鼠洞等。服务区域内的鼠、蚊虫、蝇、蟑螂的密度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  <w:highlight w:val="white"/>
          <w:lang w:val="en-US" w:eastAsia="zh-CN"/>
        </w:rPr>
        <w:t>至少要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  <w:highlight w:val="white"/>
          <w:lang w:eastAsia="zh-CN"/>
        </w:rPr>
        <w:t>达到国家病媒生物密度控制水平标准C级要求；服务区域内的鼠迹；各水体、积水蚊幼虫阳性率；蝇类孳生地阳性率；蟑迹、卵鞘阳性率的密度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  <w:highlight w:val="white"/>
          <w:lang w:val="en-US" w:eastAsia="zh-CN"/>
        </w:rPr>
        <w:t>至少要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  <w:highlight w:val="white"/>
          <w:lang w:eastAsia="zh-CN"/>
        </w:rPr>
        <w:t>达到国家病媒生物密度控制水平标准C级要求；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  <w:highlight w:val="white"/>
          <w:lang w:val="en-US" w:eastAsia="zh-CN"/>
        </w:rPr>
        <w:t>如遇病房、科室申报防制工作需求，或其他紧急防制需要，接到工作通知后需在1小时内响应,2小时内到场处理。</w:t>
      </w:r>
    </w:p>
    <w:p w14:paraId="22AAA8D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5" w:firstLine="676" w:firstLineChars="200"/>
        <w:textAlignment w:val="baseline"/>
        <w:outlineLvl w:val="1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9"/>
          <w:sz w:val="32"/>
          <w:szCs w:val="32"/>
          <w:highlight w:val="white"/>
          <w:lang w:eastAsia="zh-CN"/>
        </w:rPr>
        <w:t>三、防制周期和要求</w:t>
      </w:r>
      <w:r>
        <w:rPr>
          <w:rFonts w:hint="eastAsia" w:ascii="黑体" w:hAnsi="黑体" w:eastAsia="黑体" w:cs="黑体"/>
          <w:spacing w:val="9"/>
          <w:sz w:val="32"/>
          <w:szCs w:val="32"/>
          <w:highlight w:val="white"/>
          <w:lang w:val="en-US" w:eastAsia="zh-CN"/>
        </w:rPr>
        <w:t xml:space="preserve"> </w:t>
      </w:r>
    </w:p>
    <w:p w14:paraId="07B4967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104" w:firstLine="636" w:firstLineChars="200"/>
        <w:textAlignment w:val="baseline"/>
        <w:rPr>
          <w:rFonts w:hint="eastAsia" w:ascii="仿宋_GB2312" w:hAnsi="仿宋_GB2312" w:eastAsia="仿宋_GB2312" w:cs="仿宋_GB2312"/>
          <w:spacing w:val="-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eastAsia="zh-CN"/>
        </w:rPr>
        <w:t>1.每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val="en-US" w:eastAsia="zh-CN"/>
        </w:rPr>
        <w:t>季度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eastAsia="zh-CN"/>
        </w:rPr>
        <w:t>为1个防制服务周期，每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val="en-US" w:eastAsia="zh-CN"/>
        </w:rPr>
        <w:t>季度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eastAsia="zh-CN"/>
        </w:rPr>
        <w:t>至少开展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eastAsia="zh-CN"/>
        </w:rPr>
        <w:t>次集中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val="en-US" w:eastAsia="zh-CN"/>
        </w:rPr>
        <w:t>检查及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eastAsia="zh-CN"/>
        </w:rPr>
        <w:t>防制工作，日常防制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val="en-US" w:eastAsia="zh-CN"/>
        </w:rPr>
        <w:t>每周不少于2次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eastAsia="zh-CN"/>
        </w:rPr>
        <w:t>，每次不少于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eastAsia="zh-CN"/>
        </w:rPr>
        <w:t>人作业；</w:t>
      </w:r>
    </w:p>
    <w:p w14:paraId="7B422C8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104" w:firstLine="636" w:firstLineChars="200"/>
        <w:textAlignment w:val="baseline"/>
        <w:rPr>
          <w:rFonts w:hint="eastAsia" w:ascii="仿宋_GB2312" w:hAnsi="仿宋_GB2312" w:eastAsia="仿宋_GB2312" w:cs="仿宋_GB2312"/>
          <w:spacing w:val="-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eastAsia="zh-CN"/>
        </w:rPr>
        <w:t>2.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  <w:highlight w:val="white"/>
          <w:lang w:eastAsia="zh-CN"/>
        </w:rPr>
        <w:t>毒饵盒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  <w:highlight w:val="white"/>
          <w:lang w:val="en-US" w:eastAsia="zh-CN"/>
        </w:rPr>
        <w:t>布置点位需合理分布（提供点位分布方案），避免低洼积水位置，防止鼠药受潮或被积水浸泡，且不影响环境卫生，毒饵站要张贴警示标记，毒饵盒应具有统一的编号，以便于管理和追踪和记录毒饵投放情况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eastAsia="zh-CN"/>
        </w:rPr>
        <w:t>。</w:t>
      </w:r>
    </w:p>
    <w:p w14:paraId="7442C5E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104" w:firstLine="636" w:firstLineChars="200"/>
        <w:textAlignment w:val="baseline"/>
        <w:rPr>
          <w:rFonts w:hint="eastAsia" w:ascii="仿宋_GB2312" w:hAnsi="仿宋_GB2312" w:eastAsia="仿宋_GB2312" w:cs="仿宋_GB2312"/>
          <w:spacing w:val="-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eastAsia="zh-CN"/>
        </w:rPr>
        <w:t>3.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val="en-US" w:eastAsia="zh-CN"/>
        </w:rPr>
        <w:t>防制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eastAsia="zh-CN"/>
        </w:rPr>
        <w:t>单位必须制定突发事件应急预案；在提供药物投放服务时，必须作好宣传、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val="en-US" w:eastAsia="zh-CN"/>
        </w:rPr>
        <w:t>交流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eastAsia="zh-CN"/>
        </w:rPr>
        <w:t>和技术指导工作，注意安全，预防人畜误食鼠药中毒事件发生，以及对发生误食中毒事件进行及时处理，并承担因宣传和指导不力造成环境污染和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val="en-US" w:eastAsia="zh-CN"/>
        </w:rPr>
        <w:t>其他因病媒生物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eastAsia="zh-CN"/>
        </w:rPr>
        <w:t>所产生的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val="en-US" w:eastAsia="zh-CN"/>
        </w:rPr>
        <w:t>不良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eastAsia="zh-CN"/>
        </w:rPr>
        <w:t>后果；</w:t>
      </w:r>
    </w:p>
    <w:p w14:paraId="3030020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104" w:firstLine="636" w:firstLineChars="200"/>
        <w:textAlignment w:val="baseline"/>
        <w:rPr>
          <w:rFonts w:hint="eastAsia" w:ascii="仿宋_GB2312" w:hAnsi="仿宋_GB2312" w:eastAsia="仿宋_GB2312" w:cs="仿宋_GB2312"/>
          <w:spacing w:val="-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eastAsia="zh-CN"/>
        </w:rPr>
        <w:t>4.在提供药物投放服务时，必须按规定投放，确保消杀药物的投放量、到位率、覆盖率符合要求并作好相关文字记录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val="en-US" w:eastAsia="zh-CN"/>
        </w:rPr>
        <w:t>及影像资料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val="en-US" w:eastAsia="zh-CN"/>
        </w:rPr>
        <w:t>作为日常监督及考核的佐证材料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-1"/>
          <w:sz w:val="32"/>
          <w:szCs w:val="32"/>
          <w:highlight w:val="white"/>
          <w:lang w:eastAsia="zh-CN"/>
        </w:rPr>
        <w:t>。</w:t>
      </w:r>
    </w:p>
    <w:p w14:paraId="6D53BF3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textAlignment w:val="baseline"/>
        <w:outlineLvl w:val="1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7"/>
          <w:sz w:val="32"/>
          <w:szCs w:val="32"/>
          <w:highlight w:val="white"/>
          <w:lang w:eastAsia="zh-CN"/>
        </w:rPr>
        <w:t>四、病媒防制消杀药品要求</w:t>
      </w:r>
    </w:p>
    <w:p w14:paraId="18326D9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3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2"/>
          <w:sz w:val="32"/>
          <w:szCs w:val="32"/>
          <w:highlight w:val="white"/>
          <w:lang w:eastAsia="zh-CN"/>
        </w:rPr>
        <w:t>投标单位必须注重科学合理用药，不得使用假药、国家禁用的药物，并须确保药物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highlight w:val="white"/>
          <w:lang w:eastAsia="zh-CN"/>
        </w:rPr>
        <w:t>来源和质量正当可靠。使用的药物必须符合</w:t>
      </w:r>
      <w:r>
        <w:rPr>
          <w:rFonts w:hint="eastAsia" w:ascii="仿宋_GB2312" w:hAnsi="仿宋_GB2312" w:eastAsia="仿宋_GB2312" w:cs="仿宋_GB2312"/>
          <w:spacing w:val="-49"/>
          <w:sz w:val="32"/>
          <w:szCs w:val="32"/>
          <w:highlight w:val="whit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white"/>
          <w:lang w:eastAsia="zh-CN"/>
        </w:rPr>
        <w:t>GB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highlight w:val="white"/>
          <w:lang w:eastAsia="zh-CN"/>
        </w:rPr>
        <w:t>/T27777-2011《杀鼠剂安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highlight w:val="white"/>
          <w:lang w:eastAsia="zh-CN"/>
        </w:rPr>
        <w:t>全使用准则》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  <w:highlight w:val="white"/>
          <w:lang w:eastAsia="zh-CN"/>
        </w:rPr>
        <w:t>与</w:t>
      </w:r>
      <w:r>
        <w:rPr>
          <w:rFonts w:hint="eastAsia" w:ascii="仿宋_GB2312" w:hAnsi="仿宋_GB2312" w:eastAsia="仿宋_GB2312" w:cs="仿宋_GB2312"/>
          <w:spacing w:val="-49"/>
          <w:sz w:val="32"/>
          <w:szCs w:val="32"/>
          <w:highlight w:val="whit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white"/>
          <w:lang w:eastAsia="zh-CN"/>
        </w:rPr>
        <w:t>GB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  <w:highlight w:val="white"/>
          <w:lang w:eastAsia="zh-CN"/>
        </w:rPr>
        <w:t>/T27779-2011《卫生杀虫剂安全使用准则》的要求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  <w:highlight w:val="white"/>
          <w:lang w:eastAsia="zh-CN"/>
        </w:rPr>
        <w:t>，达到“安全、高效、环保</w:t>
      </w:r>
      <w:r>
        <w:rPr>
          <w:rFonts w:hint="eastAsia" w:ascii="仿宋_GB2312" w:hAnsi="仿宋_GB2312" w:eastAsia="仿宋_GB2312" w:cs="仿宋_GB2312"/>
          <w:spacing w:val="-84"/>
          <w:sz w:val="32"/>
          <w:szCs w:val="32"/>
          <w:highlight w:val="whit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  <w:highlight w:val="white"/>
          <w:lang w:eastAsia="zh-CN"/>
        </w:rPr>
        <w:t>”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highlight w:val="white"/>
          <w:lang w:eastAsia="zh-CN"/>
        </w:rPr>
        <w:t>并交替使用药物防止产生耐药性的要求。为保证用药质量，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highlight w:val="white"/>
          <w:lang w:val="en-US" w:eastAsia="zh-CN"/>
        </w:rPr>
        <w:t>及保证我院患者与职工不会受到防制药品影响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highlight w:val="white"/>
          <w:lang w:eastAsia="zh-CN"/>
        </w:rPr>
        <w:t>，使用药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highlight w:val="white"/>
          <w:lang w:val="en-US" w:eastAsia="zh-CN"/>
        </w:rPr>
        <w:t>品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highlight w:val="white"/>
          <w:lang w:eastAsia="zh-CN"/>
        </w:rPr>
        <w:t>必须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highlight w:val="white"/>
          <w:lang w:val="en-US" w:eastAsia="zh-CN"/>
        </w:rPr>
        <w:t>为无毒或低毒性药品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highlight w:val="white"/>
          <w:lang w:eastAsia="zh-CN"/>
        </w:rPr>
        <w:t>。</w:t>
      </w:r>
    </w:p>
    <w:p w14:paraId="2ED5DA15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br w:type="page"/>
      </w:r>
    </w:p>
    <w:p w14:paraId="12B4BC4D">
      <w:pPr>
        <w:pStyle w:val="2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附件2：药品技术参数模板（格式可自行调整）</w:t>
      </w:r>
    </w:p>
    <w:tbl>
      <w:tblPr>
        <w:tblStyle w:val="11"/>
        <w:tblW w:w="954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6"/>
        <w:gridCol w:w="1757"/>
        <w:gridCol w:w="2615"/>
        <w:gridCol w:w="2212"/>
        <w:gridCol w:w="2006"/>
      </w:tblGrid>
      <w:tr w14:paraId="329855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jc w:val="center"/>
        </w:trPr>
        <w:tc>
          <w:tcPr>
            <w:tcW w:w="956" w:type="dxa"/>
            <w:vAlign w:val="center"/>
          </w:tcPr>
          <w:p w14:paraId="5D5C000E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156"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  <w:highlight w:val="white"/>
              </w:rPr>
              <w:t>序号</w:t>
            </w:r>
          </w:p>
        </w:tc>
        <w:tc>
          <w:tcPr>
            <w:tcW w:w="1757" w:type="dxa"/>
            <w:vAlign w:val="center"/>
          </w:tcPr>
          <w:p w14:paraId="20CA841F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  <w:highlight w:val="white"/>
              </w:rPr>
              <w:t>产品名称</w:t>
            </w:r>
          </w:p>
        </w:tc>
        <w:tc>
          <w:tcPr>
            <w:tcW w:w="2615" w:type="dxa"/>
            <w:vAlign w:val="center"/>
          </w:tcPr>
          <w:p w14:paraId="63D508AF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  <w:highlight w:val="white"/>
              </w:rPr>
              <w:t>技术参数</w:t>
            </w:r>
          </w:p>
        </w:tc>
        <w:tc>
          <w:tcPr>
            <w:tcW w:w="2212" w:type="dxa"/>
            <w:vAlign w:val="center"/>
          </w:tcPr>
          <w:p w14:paraId="1830CBE9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  <w:highlight w:val="white"/>
              </w:rPr>
              <w:t>剂型</w:t>
            </w:r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  <w:highlight w:val="white"/>
                <w:lang w:val="en-US" w:eastAsia="zh-CN"/>
              </w:rPr>
              <w:t>及投放方式</w:t>
            </w:r>
          </w:p>
        </w:tc>
        <w:tc>
          <w:tcPr>
            <w:tcW w:w="2006" w:type="dxa"/>
            <w:vAlign w:val="center"/>
          </w:tcPr>
          <w:p w14:paraId="429C3FA8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773"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32"/>
                <w:szCs w:val="32"/>
                <w:highlight w:val="white"/>
              </w:rPr>
              <w:t>备注</w:t>
            </w:r>
          </w:p>
        </w:tc>
      </w:tr>
      <w:tr w14:paraId="174E69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956" w:type="dxa"/>
            <w:vAlign w:val="center"/>
          </w:tcPr>
          <w:p w14:paraId="65BACCAE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355"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white"/>
              </w:rPr>
              <w:t>1</w:t>
            </w:r>
          </w:p>
        </w:tc>
        <w:tc>
          <w:tcPr>
            <w:tcW w:w="1757" w:type="dxa"/>
            <w:vAlign w:val="center"/>
          </w:tcPr>
          <w:p w14:paraId="28D62243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说明用途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2615" w:type="dxa"/>
            <w:vAlign w:val="center"/>
          </w:tcPr>
          <w:p w14:paraId="420EA246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有效成分、含量、药物毒性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2212" w:type="dxa"/>
            <w:vAlign w:val="center"/>
          </w:tcPr>
          <w:p w14:paraId="33704F04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若为物理防制另行说明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2006" w:type="dxa"/>
            <w:vMerge w:val="restart"/>
            <w:vAlign w:val="center"/>
          </w:tcPr>
          <w:p w14:paraId="653D30FE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118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18D61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956" w:type="dxa"/>
            <w:vAlign w:val="center"/>
          </w:tcPr>
          <w:p w14:paraId="1F013B7B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340"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white"/>
              </w:rPr>
              <w:t>2</w:t>
            </w:r>
          </w:p>
        </w:tc>
        <w:tc>
          <w:tcPr>
            <w:tcW w:w="1757" w:type="dxa"/>
            <w:vAlign w:val="center"/>
          </w:tcPr>
          <w:p w14:paraId="78017970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161"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5" w:type="dxa"/>
            <w:vAlign w:val="center"/>
          </w:tcPr>
          <w:p w14:paraId="55FF8602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141"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12" w:type="dxa"/>
            <w:vAlign w:val="center"/>
          </w:tcPr>
          <w:p w14:paraId="5528EB1B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399"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06" w:type="dxa"/>
            <w:vMerge w:val="continue"/>
            <w:vAlign w:val="center"/>
          </w:tcPr>
          <w:p w14:paraId="45A6C8F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F0E7C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956" w:type="dxa"/>
            <w:vAlign w:val="center"/>
          </w:tcPr>
          <w:p w14:paraId="6406B96D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342"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white"/>
              </w:rPr>
              <w:t>3</w:t>
            </w:r>
          </w:p>
        </w:tc>
        <w:tc>
          <w:tcPr>
            <w:tcW w:w="1757" w:type="dxa"/>
            <w:vAlign w:val="center"/>
          </w:tcPr>
          <w:p w14:paraId="5D92CB7E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376"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5" w:type="dxa"/>
            <w:vAlign w:val="center"/>
          </w:tcPr>
          <w:p w14:paraId="11B2B59C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369"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12" w:type="dxa"/>
            <w:vAlign w:val="center"/>
          </w:tcPr>
          <w:p w14:paraId="684AA5E3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873"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06" w:type="dxa"/>
            <w:vMerge w:val="continue"/>
            <w:vAlign w:val="center"/>
          </w:tcPr>
          <w:p w14:paraId="53787BD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0B95A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956" w:type="dxa"/>
            <w:vAlign w:val="center"/>
          </w:tcPr>
          <w:p w14:paraId="62E7FA3F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336"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white"/>
                <w:lang w:val="en-US" w:eastAsia="zh-CN"/>
              </w:rPr>
              <w:t>4</w:t>
            </w:r>
          </w:p>
        </w:tc>
        <w:tc>
          <w:tcPr>
            <w:tcW w:w="1757" w:type="dxa"/>
            <w:vAlign w:val="center"/>
          </w:tcPr>
          <w:p w14:paraId="5CDD2010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496" w:firstLine="0" w:firstLineChars="0"/>
              <w:textAlignment w:val="baseline"/>
              <w:rPr>
                <w:rFonts w:hint="eastAsia" w:ascii="仿宋_GB2312" w:hAnsi="仿宋_GB2312" w:eastAsia="仿宋_GB2312" w:cs="仿宋_GB2312"/>
                <w:spacing w:val="-4"/>
                <w:sz w:val="32"/>
                <w:szCs w:val="32"/>
              </w:rPr>
            </w:pPr>
          </w:p>
        </w:tc>
        <w:tc>
          <w:tcPr>
            <w:tcW w:w="2615" w:type="dxa"/>
            <w:vAlign w:val="center"/>
          </w:tcPr>
          <w:p w14:paraId="11511669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243" w:firstLine="0" w:firstLineChars="0"/>
              <w:textAlignment w:val="baseline"/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  <w:lang w:eastAsia="zh-CN"/>
              </w:rPr>
            </w:pPr>
          </w:p>
        </w:tc>
        <w:tc>
          <w:tcPr>
            <w:tcW w:w="2212" w:type="dxa"/>
            <w:vAlign w:val="center"/>
          </w:tcPr>
          <w:p w14:paraId="12D93BDF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0" w:firstLineChars="0"/>
              <w:textAlignment w:val="baseline"/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</w:rPr>
            </w:pPr>
          </w:p>
        </w:tc>
        <w:tc>
          <w:tcPr>
            <w:tcW w:w="2006" w:type="dxa"/>
            <w:vMerge w:val="continue"/>
            <w:vAlign w:val="center"/>
          </w:tcPr>
          <w:p w14:paraId="28165C5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DBF81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956" w:type="dxa"/>
            <w:vAlign w:val="center"/>
          </w:tcPr>
          <w:p w14:paraId="3B8601E9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336"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white"/>
                <w:lang w:val="en-US" w:eastAsia="zh-CN"/>
              </w:rPr>
              <w:t>5</w:t>
            </w:r>
          </w:p>
        </w:tc>
        <w:tc>
          <w:tcPr>
            <w:tcW w:w="1757" w:type="dxa"/>
            <w:vAlign w:val="center"/>
          </w:tcPr>
          <w:p w14:paraId="1A7EA80E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496" w:firstLine="0" w:firstLineChars="0"/>
              <w:textAlignment w:val="baseline"/>
              <w:rPr>
                <w:rFonts w:hint="eastAsia" w:ascii="仿宋_GB2312" w:hAnsi="仿宋_GB2312" w:eastAsia="仿宋_GB2312" w:cs="仿宋_GB2312"/>
                <w:spacing w:val="-4"/>
                <w:sz w:val="32"/>
                <w:szCs w:val="32"/>
                <w:lang w:eastAsia="zh-CN"/>
              </w:rPr>
            </w:pPr>
          </w:p>
        </w:tc>
        <w:tc>
          <w:tcPr>
            <w:tcW w:w="2615" w:type="dxa"/>
            <w:vAlign w:val="center"/>
          </w:tcPr>
          <w:p w14:paraId="7F3A41F3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243" w:firstLine="0" w:firstLineChars="0"/>
              <w:textAlignment w:val="baseline"/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</w:rPr>
            </w:pPr>
          </w:p>
        </w:tc>
        <w:tc>
          <w:tcPr>
            <w:tcW w:w="2212" w:type="dxa"/>
            <w:vAlign w:val="center"/>
          </w:tcPr>
          <w:p w14:paraId="2F1C3999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575" w:firstLine="0" w:firstLineChars="0"/>
              <w:textAlignment w:val="baseline"/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</w:rPr>
            </w:pPr>
          </w:p>
        </w:tc>
        <w:tc>
          <w:tcPr>
            <w:tcW w:w="2006" w:type="dxa"/>
            <w:vMerge w:val="continue"/>
            <w:vAlign w:val="center"/>
          </w:tcPr>
          <w:p w14:paraId="06768F2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91808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956" w:type="dxa"/>
            <w:vAlign w:val="center"/>
          </w:tcPr>
          <w:p w14:paraId="79A30F5E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342"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white"/>
                <w:lang w:val="en-US" w:eastAsia="zh-CN"/>
              </w:rPr>
              <w:t>6</w:t>
            </w:r>
          </w:p>
        </w:tc>
        <w:tc>
          <w:tcPr>
            <w:tcW w:w="1757" w:type="dxa"/>
            <w:vAlign w:val="center"/>
          </w:tcPr>
          <w:p w14:paraId="3DE61DC5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611"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5" w:type="dxa"/>
            <w:vAlign w:val="center"/>
          </w:tcPr>
          <w:p w14:paraId="78486F8F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245"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12" w:type="dxa"/>
            <w:vAlign w:val="center"/>
          </w:tcPr>
          <w:p w14:paraId="3725BA36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1053"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06" w:type="dxa"/>
            <w:vMerge w:val="continue"/>
            <w:vAlign w:val="center"/>
          </w:tcPr>
          <w:p w14:paraId="08F202BC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121"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9F931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956" w:type="dxa"/>
            <w:vAlign w:val="center"/>
          </w:tcPr>
          <w:p w14:paraId="4C5F239B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339"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white"/>
                <w:lang w:val="en-US" w:eastAsia="zh-CN"/>
              </w:rPr>
              <w:t>7</w:t>
            </w:r>
          </w:p>
        </w:tc>
        <w:tc>
          <w:tcPr>
            <w:tcW w:w="1757" w:type="dxa"/>
            <w:vAlign w:val="center"/>
          </w:tcPr>
          <w:p w14:paraId="6EAF5367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609"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5" w:type="dxa"/>
            <w:vAlign w:val="center"/>
          </w:tcPr>
          <w:p w14:paraId="5F85FBBD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123"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  <w:tc>
          <w:tcPr>
            <w:tcW w:w="2212" w:type="dxa"/>
            <w:vAlign w:val="center"/>
          </w:tcPr>
          <w:p w14:paraId="450EA081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1053"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06" w:type="dxa"/>
            <w:vMerge w:val="continue"/>
            <w:vAlign w:val="center"/>
          </w:tcPr>
          <w:p w14:paraId="45A63CB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59D1B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  <w:jc w:val="center"/>
        </w:trPr>
        <w:tc>
          <w:tcPr>
            <w:tcW w:w="956" w:type="dxa"/>
            <w:vAlign w:val="center"/>
          </w:tcPr>
          <w:p w14:paraId="1E6544E3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343"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white"/>
                <w:lang w:val="en-US" w:eastAsia="zh-CN"/>
              </w:rPr>
              <w:t>8</w:t>
            </w:r>
          </w:p>
        </w:tc>
        <w:tc>
          <w:tcPr>
            <w:tcW w:w="1757" w:type="dxa"/>
            <w:vAlign w:val="center"/>
          </w:tcPr>
          <w:p w14:paraId="7D95C593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608"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5" w:type="dxa"/>
            <w:vAlign w:val="center"/>
          </w:tcPr>
          <w:p w14:paraId="62FEB960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123"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  <w:tc>
          <w:tcPr>
            <w:tcW w:w="2212" w:type="dxa"/>
            <w:vAlign w:val="center"/>
          </w:tcPr>
          <w:p w14:paraId="16B427C0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1053"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06" w:type="dxa"/>
            <w:vMerge w:val="continue"/>
            <w:vAlign w:val="center"/>
          </w:tcPr>
          <w:p w14:paraId="1627D25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0" w:firstLineChars="0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 w14:paraId="5DB6273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0" w:firstLineChars="0"/>
        <w:textAlignment w:val="baseline"/>
        <w:rPr>
          <w:rFonts w:hint="eastAsia" w:ascii="仿宋_GB2312" w:hAnsi="仿宋_GB2312" w:eastAsia="仿宋_GB2312" w:cs="仿宋_GB2312"/>
          <w:b/>
          <w:bCs/>
          <w:color w:val="auto"/>
          <w:spacing w:val="-4"/>
          <w:position w:val="17"/>
          <w:sz w:val="32"/>
          <w:szCs w:val="32"/>
          <w:highlight w:val="white"/>
          <w:lang w:eastAsia="zh-CN"/>
        </w:rPr>
      </w:pPr>
    </w:p>
    <w:p w14:paraId="7FCC1BD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0" w:firstLineChars="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-4"/>
          <w:position w:val="17"/>
          <w:sz w:val="32"/>
          <w:szCs w:val="32"/>
          <w:highlight w:val="white"/>
          <w:lang w:eastAsia="zh-CN"/>
        </w:rPr>
        <w:t>注：供应商响应文件中所投药品需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4"/>
          <w:position w:val="17"/>
          <w:sz w:val="32"/>
          <w:szCs w:val="32"/>
          <w:highlight w:val="white"/>
          <w:lang w:val="en-US" w:eastAsia="zh-CN"/>
        </w:rPr>
        <w:t>说明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4"/>
          <w:position w:val="17"/>
          <w:sz w:val="32"/>
          <w:szCs w:val="32"/>
          <w:highlight w:val="white"/>
          <w:lang w:eastAsia="zh-CN"/>
        </w:rPr>
        <w:t>有效成分、含量及剂型，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21"/>
          <w:position w:val="17"/>
          <w:sz w:val="32"/>
          <w:szCs w:val="32"/>
          <w:highlight w:val="whit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4"/>
          <w:position w:val="17"/>
          <w:sz w:val="32"/>
          <w:szCs w:val="32"/>
          <w:highlight w:val="white"/>
          <w:lang w:eastAsia="zh-CN"/>
        </w:rPr>
        <w:t>且须提供药品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4"/>
          <w:position w:val="17"/>
          <w:sz w:val="32"/>
          <w:szCs w:val="32"/>
          <w:highlight w:val="white"/>
          <w:lang w:val="en-US" w:eastAsia="zh-CN"/>
        </w:rPr>
        <w:t>合法性及质量相关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4"/>
          <w:position w:val="17"/>
          <w:sz w:val="32"/>
          <w:szCs w:val="32"/>
          <w:highlight w:val="white"/>
          <w:lang w:eastAsia="zh-CN"/>
        </w:rPr>
        <w:t>证明文件（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4"/>
          <w:position w:val="17"/>
          <w:sz w:val="32"/>
          <w:szCs w:val="32"/>
          <w:highlight w:val="white"/>
          <w:lang w:val="en-US" w:eastAsia="zh-CN"/>
        </w:rPr>
        <w:t>如生产许可、质量认证等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4"/>
          <w:position w:val="17"/>
          <w:sz w:val="32"/>
          <w:szCs w:val="32"/>
          <w:highlight w:val="white"/>
          <w:lang w:eastAsia="zh-CN"/>
        </w:rPr>
        <w:t>），否则做无效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4"/>
          <w:position w:val="17"/>
          <w:sz w:val="32"/>
          <w:szCs w:val="32"/>
          <w:highlight w:val="white"/>
          <w:lang w:val="en-US" w:eastAsia="zh-CN"/>
        </w:rPr>
        <w:t>响应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4"/>
          <w:position w:val="17"/>
          <w:sz w:val="32"/>
          <w:szCs w:val="32"/>
          <w:highlight w:val="white"/>
          <w:lang w:eastAsia="zh-CN"/>
        </w:rPr>
        <w:t>处理。</w:t>
      </w:r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wZTIyZTNmYzgzNjQ0M2NiM2M1Y2Y2ZGNiNzRhMjkifQ=="/>
  </w:docVars>
  <w:rsids>
    <w:rsidRoot w:val="004C4E9E"/>
    <w:rsid w:val="004C4E9E"/>
    <w:rsid w:val="0BF3016E"/>
    <w:rsid w:val="524946E6"/>
    <w:rsid w:val="57633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4"/>
    <w:basedOn w:val="1"/>
    <w:next w:val="1"/>
    <w:link w:val="13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0"/>
    <w:semiHidden/>
    <w:qFormat/>
    <w:uiPriority w:val="0"/>
  </w:style>
  <w:style w:type="paragraph" w:styleId="4">
    <w:name w:val="footer"/>
    <w:basedOn w:val="1"/>
    <w:link w:val="9"/>
    <w:semiHidden/>
    <w:unhideWhenUsed/>
    <w:qFormat/>
    <w:uiPriority w:val="99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eastAsiaTheme="minorEastAsia" w:cstheme="minorBidi"/>
      <w:snapToGrid/>
      <w:color w:val="auto"/>
      <w:kern w:val="2"/>
      <w:sz w:val="18"/>
      <w:szCs w:val="18"/>
      <w:lang w:eastAsia="zh-CN"/>
    </w:rPr>
  </w:style>
  <w:style w:type="paragraph" w:styleId="5">
    <w:name w:val="header"/>
    <w:basedOn w:val="1"/>
    <w:link w:val="8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eastAsiaTheme="minorEastAsia" w:cstheme="minorBidi"/>
      <w:snapToGrid/>
      <w:color w:val="auto"/>
      <w:kern w:val="2"/>
      <w:sz w:val="18"/>
      <w:szCs w:val="18"/>
      <w:lang w:eastAsia="zh-CN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正文文本 Char"/>
    <w:basedOn w:val="7"/>
    <w:link w:val="3"/>
    <w:semiHidden/>
    <w:qFormat/>
    <w:uiPriority w:val="0"/>
    <w:rPr>
      <w:rFonts w:ascii="Arial" w:hAnsi="Arial" w:eastAsia="Arial" w:cs="Arial"/>
      <w:snapToGrid w:val="0"/>
      <w:color w:val="000000"/>
      <w:kern w:val="0"/>
      <w:szCs w:val="21"/>
      <w:lang w:eastAsia="en-US"/>
    </w:rPr>
  </w:style>
  <w:style w:type="table" w:customStyle="1" w:styleId="11">
    <w:name w:val="Table Normal_0"/>
    <w:unhideWhenUsed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</w:rPr>
  </w:style>
  <w:style w:type="character" w:customStyle="1" w:styleId="13">
    <w:name w:val="标题 4 Char"/>
    <w:basedOn w:val="7"/>
    <w:link w:val="2"/>
    <w:semiHidden/>
    <w:qFormat/>
    <w:uiPriority w:val="9"/>
    <w:rPr>
      <w:rFonts w:asciiTheme="majorHAnsi" w:hAnsiTheme="majorHAnsi" w:eastAsiaTheme="majorEastAsia" w:cstheme="majorBidi"/>
      <w:b/>
      <w:bCs/>
      <w:snapToGrid w:val="0"/>
      <w:color w:val="000000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3</Pages>
  <Words>1082</Words>
  <Characters>1164</Characters>
  <Lines>13</Lines>
  <Paragraphs>3</Paragraphs>
  <TotalTime>45</TotalTime>
  <ScaleCrop>false</ScaleCrop>
  <LinksUpToDate>false</LinksUpToDate>
  <CharactersWithSpaces>1169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2024-06-11T05:16:00Z</dcterms:created>
  <dc:creator>Windows 用户</dc:creator>
  <cp:lastModifiedBy>near</cp:lastModifiedBy>
  <dcterms:modified xsi:type="dcterms:W3CDTF">2024-08-22T03:28:49Z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6C3B64FAEEE14CCA881FA13358284866_13</vt:lpwstr>
  </property>
</Properties>
</file>